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2B2E6BD1" w14:textId="707C700E"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072AB9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182EFC">
              <w:rPr>
                <w:rFonts w:ascii="Arial" w:hAnsi="Arial" w:cs="Arial"/>
                <w:b/>
                <w:sz w:val="36"/>
                <w:szCs w:val="36"/>
              </w:rPr>
              <w:t>dla klasy VII</w:t>
            </w:r>
          </w:p>
          <w:p w14:paraId="2EEAF736" w14:textId="77777777" w:rsidR="00EF3E35" w:rsidRPr="005B6524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71A94A2" w14:textId="77777777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33D7" wp14:editId="07B780D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BCC82" w14:textId="77777777"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14:paraId="2DD2A5E1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14:paraId="645FA074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14:paraId="6316A956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6BAA2D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072AB9" w14:paraId="538179B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 xml:space="preserve">przedmiotów osobistego użytku,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3B80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EF3E35" w:rsidRPr="004E3B80" w:rsidRDefault="00EF3E3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podawaniem informacji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072AB9" w14:paraId="60F957A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EF3E35" w:rsidRPr="00B62B2E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77777777" w:rsidR="00EF3E35" w:rsidRPr="00B62B2E" w:rsidRDefault="00EF3E3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kolory przedmiotów codziennego użytku,</w:t>
            </w:r>
            <w:r w:rsidR="00163AE8" w:rsidRPr="00B62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nazywa i opisuje kolory przedmiotów codziennego użytku</w:t>
            </w:r>
            <w:r w:rsidRPr="00B62B2E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072AB9" w14:paraId="48652C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77777777" w:rsidR="00EF3E35" w:rsidRPr="00A81286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przedmiotów osobistego użytku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przedmiotów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EF3E35" w:rsidRPr="00072AB9" w14:paraId="7122946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FA3C639" w:rsidR="00EF3E35" w:rsidRPr="006442A1" w:rsidRDefault="00EF3E3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>kolory, godziny, dni, daty, przedmioty osobiste codziennego użytku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 xml:space="preserve">przymiotniki dzierżawcze, zerowe, określone i nieokreślone przedimki, zaimki wskazujące, liczbę mnogą rzeczowników, 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posses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ive 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072AB9" w14:paraId="6C9DC5BE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EF3E35" w:rsidRPr="00072AB9" w14:paraId="3E4F402D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072AB9" w14:paraId="282788A0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EF3E35" w:rsidRPr="00072AB9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231D1D8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 w:rsidRPr="00E5169A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</w:t>
            </w:r>
            <w:r w:rsidR="000532EE"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pomieszczeń, cechy zewnętrzne różnych przedmiotów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5169A" w:rsidRPr="00072AB9" w14:paraId="65C3774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E5169A" w:rsidRPr="00072AB9" w14:paraId="15B4316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5169A" w:rsidRPr="00072AB9" w14:paraId="2BBDC5E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codziennymi zwyczajami, wzorując się na modelu rozmowy i korzystając z pomocy nauczyciela, popełniając błędy językowe, które w niewielkim stopniu wpływają na właściwe zrozumienie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E5169A" w:rsidRPr="00072AB9" w14:paraId="08B6A6A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08FE7DA3" w:rsidR="00E5169A" w:rsidRPr="00E5169A" w:rsidRDefault="00E5169A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E5169A" w:rsidRPr="00072AB9" w14:paraId="50CA9E2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5169A" w:rsidRPr="00072AB9" w14:paraId="132BA63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 w:rsidR="004C75F4"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61134A" w:rsidRPr="00072AB9" w14:paraId="7330046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1529FEE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1134A" w:rsidRPr="00072AB9" w14:paraId="714B5707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61134A" w:rsidRPr="00072AB9" w14:paraId="088C2B2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7C4E2E7E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7DB2794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61134A" w:rsidRPr="00072AB9" w14:paraId="24CD205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  <w:p w14:paraId="2BE47030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4C75F4" w:rsidRPr="004C75F4" w:rsidRDefault="004C75F4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61134A" w:rsidRPr="00072AB9" w14:paraId="55E81DD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499664EC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61134A" w:rsidRPr="00072AB9" w14:paraId="413F4D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61134A" w:rsidRPr="00072AB9" w14:paraId="37B52A2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61134A" w:rsidRPr="00072AB9" w14:paraId="00CCF11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5EC3C333" w:rsidR="0061134A" w:rsidRPr="00213629" w:rsidRDefault="0061134A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7EA60D3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61134A" w:rsidRPr="00072AB9" w14:paraId="741B65B0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61134A" w:rsidRPr="00072AB9" w14:paraId="32CB175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5558262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2AD052A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61134A" w:rsidRPr="00072AB9" w14:paraId="1C4B8B88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61134A" w:rsidRPr="00072AB9" w14:paraId="759FA66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88675C2" w:rsidR="0061134A" w:rsidRPr="0061134A" w:rsidRDefault="0061134A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1134A" w:rsidRPr="009F241A" w14:paraId="136FFD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1134A" w:rsidRPr="009F241A" w:rsidRDefault="0061134A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 w:rsidR="004C75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61134A" w:rsidRPr="009F241A" w14:paraId="52FF6F0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671FD7EF" w:rsidR="0061134A" w:rsidRPr="009F241A" w:rsidRDefault="0061134A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61134A" w:rsidRPr="009F241A" w14:paraId="0F667A7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1F7D7E29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3FCC87E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61134A" w:rsidRPr="00072AB9" w14:paraId="18AC716A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1912C25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3461BB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1134A" w:rsidRPr="009A1115" w:rsidRDefault="0061134A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7777777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61134A" w:rsidRPr="00072AB9" w14:paraId="6AF36F7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61134A" w:rsidRPr="00072AB9" w14:paraId="258D74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3CBA6122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61134A" w:rsidRPr="00072AB9" w14:paraId="5E1FED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7F5217F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61134A" w:rsidRPr="00072AB9" w14:paraId="1E35BA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297F57C1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61134A" w:rsidRPr="00072AB9" w14:paraId="5E3F2F3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77777777" w:rsidR="0061134A" w:rsidRPr="009A1115" w:rsidRDefault="0061134A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A1115" w:rsidRPr="00072AB9" w14:paraId="65DFED1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0A7904CE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A1115" w:rsidRPr="00072AB9" w14:paraId="68660EEC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A1115" w:rsidRPr="00072AB9" w14:paraId="44383C3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A1115" w:rsidRPr="00072AB9" w14:paraId="25372E0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A1115" w:rsidRPr="00072AB9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1F622B" w:rsidRPr="00072AB9" w14:paraId="4A76DEB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F622B" w:rsidRPr="00072AB9" w14:paraId="55605D4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3D68604" w:rsidR="001F622B" w:rsidRPr="009A1115" w:rsidRDefault="001F622B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1F622B" w:rsidRPr="00072AB9" w14:paraId="5BEC373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1F622B" w:rsidRPr="00072AB9" w14:paraId="7535BFF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71071E4F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przyszłości.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1F622B" w:rsidRPr="00072AB9" w14:paraId="7C0AC43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1F622B" w:rsidRPr="00072AB9" w14:paraId="717717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1F622B" w:rsidRPr="00072AB9" w14:paraId="043D079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1F622B" w:rsidRPr="00072AB9" w14:paraId="6FF8A6EB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1F622B" w:rsidRPr="00072AB9" w14:paraId="4597ACA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1F622B" w:rsidRPr="00072AB9" w14:paraId="380725D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1F622B" w:rsidRPr="00072AB9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3400C87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63729AA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3F3A01" w:rsidRPr="00072AB9" w14:paraId="0A36A20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3F3A01" w:rsidRPr="00072AB9" w14:paraId="751D993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05485526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3F3A01" w:rsidRPr="003A7ADC" w:rsidRDefault="003F3A01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3F3A01" w:rsidRPr="00072AB9" w14:paraId="2C23497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77777777" w:rsidR="003F3A01" w:rsidRPr="00170C80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2B1498C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B0F23B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66D95524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3F3A01" w:rsidRPr="00072AB9" w14:paraId="02CE3BE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F3A01" w:rsidRPr="00072AB9" w14:paraId="23341D01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F3A01" w:rsidRPr="00072AB9" w14:paraId="3CA31E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3F3A01" w:rsidRPr="00072AB9" w14:paraId="6C5B80A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5ADF7AEE" w:rsidR="003F3A01" w:rsidRPr="00CE5888" w:rsidRDefault="003F3A01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3EA7898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popełniając błędy językowe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49541FE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różnych sportów</w:t>
            </w:r>
            <w:r w:rsidRPr="00CE5888">
              <w:rPr>
                <w:rFonts w:ascii="Arial" w:hAnsi="Arial" w:cs="Arial"/>
                <w:sz w:val="16"/>
                <w:szCs w:val="16"/>
              </w:rPr>
              <w:t>), czas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0F1081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51024FC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9D02402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3F3A01" w:rsidRPr="00072AB9" w14:paraId="5FD951D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D7A4C8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3F3A01" w:rsidRPr="00072AB9" w14:paraId="6CF3EFE3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2A591EB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stany emocjonalne ludzi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4D6967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3F3A01" w:rsidRPr="00072AB9" w14:paraId="7D8FA71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pisze </w:t>
            </w:r>
            <w:r w:rsid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7B9B81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uczuć i stanu emocjonalnego różnych osób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F3A01" w:rsidRPr="00072AB9" w14:paraId="639FF4E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nazwy uczuć i emocji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3F3A01" w:rsidRPr="00AE4857" w:rsidRDefault="003F3A01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37CBDC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wpis do dziennika o wybranej osobie, sytuacji w jakiej się znalazła, jej uczuć i sposobie rozwiązania problemów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5367" w14:textId="77777777" w:rsidR="00A743FE" w:rsidRDefault="00A743FE" w:rsidP="00A63005">
      <w:pPr>
        <w:spacing w:after="0" w:line="240" w:lineRule="auto"/>
      </w:pPr>
      <w:r>
        <w:separator/>
      </w:r>
    </w:p>
  </w:endnote>
  <w:endnote w:type="continuationSeparator" w:id="0">
    <w:p w14:paraId="1F4FC510" w14:textId="77777777" w:rsidR="00A743FE" w:rsidRDefault="00A743FE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3E22" w14:textId="77777777" w:rsidR="00182EFC" w:rsidRDefault="00182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02601C6D" w14:textId="77777777" w:rsidTr="002F2FA6">
      <w:tc>
        <w:tcPr>
          <w:tcW w:w="5056" w:type="dxa"/>
          <w:shd w:val="clear" w:color="auto" w:fill="D9D9D9"/>
        </w:tcPr>
        <w:p w14:paraId="050281D6" w14:textId="2A301FF5" w:rsidR="005E069C" w:rsidRPr="002F2849" w:rsidRDefault="005E069C" w:rsidP="00D9024A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</w:t>
          </w:r>
          <w:r w:rsidR="004C75F4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dla klasy VII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4C3BA7FD" w14:textId="77777777" w:rsidR="005E069C" w:rsidRPr="002F2849" w:rsidRDefault="005E069C" w:rsidP="002F2FA6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7A8660F" w14:textId="77777777" w:rsidR="005E069C" w:rsidRPr="002F2849" w:rsidRDefault="005E069C" w:rsidP="002F2FA6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AE4857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10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C2F464F" w14:textId="77777777" w:rsidR="005E069C" w:rsidRDefault="005E069C" w:rsidP="002F2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DEAA" w14:textId="77777777" w:rsidR="00182EFC" w:rsidRDefault="00182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A1CB" w14:textId="77777777" w:rsidR="00A743FE" w:rsidRDefault="00A743FE" w:rsidP="00A63005">
      <w:pPr>
        <w:spacing w:after="0" w:line="240" w:lineRule="auto"/>
      </w:pPr>
      <w:r>
        <w:separator/>
      </w:r>
    </w:p>
  </w:footnote>
  <w:footnote w:type="continuationSeparator" w:id="0">
    <w:p w14:paraId="397130C9" w14:textId="77777777" w:rsidR="00A743FE" w:rsidRDefault="00A743FE" w:rsidP="00A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3E71" w14:textId="77777777" w:rsidR="00182EFC" w:rsidRDefault="00182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8986" w14:textId="77777777" w:rsidR="00182EFC" w:rsidRDefault="00182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910E" w14:textId="77777777" w:rsidR="00182EFC" w:rsidRDefault="00182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F2FA6"/>
    <w:rsid w:val="002F5CF8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D3A8E"/>
    <w:rsid w:val="00725736"/>
    <w:rsid w:val="0075557A"/>
    <w:rsid w:val="007A3EA0"/>
    <w:rsid w:val="00827FE8"/>
    <w:rsid w:val="00881077"/>
    <w:rsid w:val="00950B15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7ABD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D38F6-883E-4080-83BF-D8341EC9CC7D}"/>
</file>

<file path=customXml/itemProps2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7388</Words>
  <Characters>42116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KAMIŃSKA, Marta</cp:lastModifiedBy>
  <cp:revision>3</cp:revision>
  <dcterms:created xsi:type="dcterms:W3CDTF">2020-05-29T10:59:00Z</dcterms:created>
  <dcterms:modified xsi:type="dcterms:W3CDTF">2020-07-22T09:55:00Z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